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A2D5B" w14:textId="0A31FB0A" w:rsidR="00E541C0" w:rsidRPr="00693002" w:rsidRDefault="00E541C0" w:rsidP="00E541C0">
      <w:pPr>
        <w:pStyle w:val="a3"/>
        <w:tabs>
          <w:tab w:val="right" w:pos="9639"/>
        </w:tabs>
        <w:rPr>
          <w:rFonts w:eastAsia="MS Mincho"/>
          <w:noProof w:val="0"/>
          <w:sz w:val="24"/>
          <w:szCs w:val="24"/>
          <w:lang w:val="en-GB" w:eastAsia="en-GB"/>
        </w:rPr>
      </w:pPr>
      <w:r w:rsidRPr="00693002">
        <w:rPr>
          <w:rFonts w:eastAsia="MS Mincho"/>
          <w:noProof w:val="0"/>
          <w:sz w:val="24"/>
          <w:szCs w:val="24"/>
          <w:lang w:val="en-GB" w:eastAsia="en-GB"/>
        </w:rPr>
        <w:t>3GPP TSG-RAN WG2 Meeting #11</w:t>
      </w:r>
      <w:r>
        <w:rPr>
          <w:rFonts w:eastAsia="MS Mincho"/>
          <w:noProof w:val="0"/>
          <w:sz w:val="24"/>
          <w:szCs w:val="24"/>
          <w:lang w:val="en-GB" w:eastAsia="en-GB"/>
        </w:rPr>
        <w:t>6</w:t>
      </w:r>
      <w:r w:rsidRPr="00693002">
        <w:rPr>
          <w:rFonts w:eastAsia="MS Mincho"/>
          <w:noProof w:val="0"/>
          <w:sz w:val="24"/>
          <w:szCs w:val="24"/>
          <w:lang w:val="en-GB" w:eastAsia="en-GB"/>
        </w:rPr>
        <w:t xml:space="preserve"> electronic</w:t>
      </w:r>
      <w:r w:rsidRPr="00693002">
        <w:rPr>
          <w:rFonts w:eastAsia="MS Mincho"/>
          <w:noProof w:val="0"/>
          <w:sz w:val="24"/>
          <w:szCs w:val="24"/>
          <w:lang w:val="en-GB" w:eastAsia="en-GB"/>
        </w:rPr>
        <w:tab/>
      </w:r>
      <w:r w:rsidR="006D5DB2" w:rsidRPr="006D5DB2">
        <w:rPr>
          <w:rFonts w:eastAsia="MS Mincho"/>
          <w:noProof w:val="0"/>
          <w:sz w:val="24"/>
          <w:szCs w:val="24"/>
          <w:lang w:val="en-GB" w:eastAsia="en-GB"/>
        </w:rPr>
        <w:t>R2-211031</w:t>
      </w:r>
      <w:r w:rsidR="00C95BF6">
        <w:rPr>
          <w:rFonts w:eastAsia="MS Mincho"/>
          <w:noProof w:val="0"/>
          <w:sz w:val="24"/>
          <w:szCs w:val="24"/>
          <w:lang w:val="en-GB" w:eastAsia="en-GB"/>
        </w:rPr>
        <w:t>1</w:t>
      </w:r>
    </w:p>
    <w:p w14:paraId="4AA29EF9" w14:textId="35789371" w:rsidR="00934AFD" w:rsidRPr="001C7FAA" w:rsidRDefault="00E541C0" w:rsidP="00E541C0">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Pr>
          <w:rFonts w:eastAsia="MS Mincho"/>
          <w:noProof w:val="0"/>
          <w:sz w:val="24"/>
          <w:szCs w:val="24"/>
          <w:lang w:val="en-GB" w:eastAsia="en-GB"/>
        </w:rPr>
        <w:t>November 1</w:t>
      </w:r>
      <w:r w:rsidRPr="00170AF7">
        <w:rPr>
          <w:rFonts w:eastAsia="MS Mincho"/>
          <w:noProof w:val="0"/>
          <w:sz w:val="24"/>
          <w:szCs w:val="24"/>
          <w:lang w:val="en-GB" w:eastAsia="en-GB"/>
        </w:rPr>
        <w:t xml:space="preserve"> - </w:t>
      </w:r>
      <w:r>
        <w:rPr>
          <w:rFonts w:eastAsia="MS Mincho"/>
          <w:noProof w:val="0"/>
          <w:sz w:val="24"/>
          <w:szCs w:val="24"/>
          <w:lang w:val="en-GB" w:eastAsia="en-GB"/>
        </w:rPr>
        <w:t>November 12</w:t>
      </w:r>
      <w:r w:rsidRPr="00693002">
        <w:rPr>
          <w:rFonts w:eastAsia="MS Mincho"/>
          <w:noProof w:val="0"/>
          <w:sz w:val="24"/>
          <w:szCs w:val="24"/>
          <w:lang w:val="en-GB" w:eastAsia="en-GB"/>
        </w:rPr>
        <w:t>, 2021</w:t>
      </w:r>
      <w:r w:rsidR="00934AFD" w:rsidRPr="001C7FAA">
        <w:rPr>
          <w:rFonts w:eastAsia="MS Mincho"/>
          <w:noProof w:val="0"/>
          <w:sz w:val="24"/>
          <w:szCs w:val="24"/>
          <w:lang w:val="en-GB" w:eastAsia="en-GB"/>
        </w:rPr>
        <w:t xml:space="preserve"> </w:t>
      </w:r>
      <w:r w:rsidR="00934AFD">
        <w:rPr>
          <w:rFonts w:eastAsia="MS Mincho"/>
          <w:noProof w:val="0"/>
          <w:sz w:val="24"/>
          <w:szCs w:val="24"/>
          <w:lang w:val="en-GB" w:eastAsia="en-GB"/>
        </w:rPr>
        <w:t xml:space="preserve">                   </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420773">
        <w:rPr>
          <w:rFonts w:eastAsia="宋体" w:cs="Arial"/>
          <w:b/>
          <w:bCs/>
          <w:kern w:val="2"/>
          <w:sz w:val="24"/>
          <w:szCs w:val="22"/>
          <w:lang w:val="en-US" w:eastAsia="zh-CN"/>
        </w:rPr>
        <w:t>3</w:t>
      </w:r>
      <w:r w:rsidR="00646CB0">
        <w:rPr>
          <w:rFonts w:eastAsia="宋体" w:cs="Arial"/>
          <w:b/>
          <w:bCs/>
          <w:kern w:val="2"/>
          <w:sz w:val="24"/>
          <w:szCs w:val="22"/>
          <w:lang w:val="en-US" w:eastAsia="zh-CN"/>
        </w:rPr>
        <w:t>.</w:t>
      </w:r>
      <w:r w:rsidR="00420773">
        <w:rPr>
          <w:rFonts w:eastAsia="宋体" w:cs="Arial"/>
          <w:b/>
          <w:bCs/>
          <w:kern w:val="2"/>
          <w:sz w:val="24"/>
          <w:szCs w:val="22"/>
          <w:lang w:val="en-US" w:eastAsia="zh-CN"/>
        </w:rPr>
        <w:t>3</w:t>
      </w:r>
    </w:p>
    <w:p w14:paraId="58D186C8"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792C96E5" w14:textId="29B76AB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95BF6" w:rsidRPr="00C95BF6">
        <w:rPr>
          <w:rFonts w:ascii="Arial" w:hAnsi="Arial" w:cs="Arial"/>
          <w:b/>
          <w:bCs/>
          <w:sz w:val="24"/>
        </w:rPr>
        <w:t>Connected mobility for NT-NTN continuity</w:t>
      </w:r>
    </w:p>
    <w:p w14:paraId="3EA5D324"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8BEEEC8" w14:textId="555E65AE" w:rsidR="003931D6" w:rsidRDefault="003931D6" w:rsidP="000B6AD1">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 last RAN2#11</w:t>
      </w:r>
      <w:r w:rsidR="00E541C0">
        <w:rPr>
          <w:rFonts w:ascii="Times New Roman" w:hAnsi="Times New Roman"/>
          <w:sz w:val="20"/>
          <w:szCs w:val="20"/>
          <w:lang w:val="en-GB"/>
        </w:rPr>
        <w:t>5</w:t>
      </w:r>
      <w:r>
        <w:rPr>
          <w:rFonts w:ascii="Times New Roman" w:hAnsi="Times New Roman"/>
          <w:sz w:val="20"/>
          <w:szCs w:val="20"/>
          <w:lang w:val="en-GB"/>
        </w:rPr>
        <w:t xml:space="preserve">e meeting made the following agreements regarding </w:t>
      </w:r>
      <w:r w:rsidR="00C95BF6">
        <w:rPr>
          <w:rFonts w:ascii="Times New Roman" w:hAnsi="Times New Roman" w:hint="eastAsia"/>
          <w:sz w:val="20"/>
          <w:szCs w:val="20"/>
          <w:lang w:val="en-GB"/>
        </w:rPr>
        <w:t>c</w:t>
      </w:r>
      <w:r w:rsidR="00C95BF6" w:rsidRPr="00C95BF6">
        <w:rPr>
          <w:rFonts w:ascii="Times New Roman" w:hAnsi="Times New Roman"/>
          <w:sz w:val="20"/>
          <w:szCs w:val="20"/>
          <w:lang w:val="en-GB"/>
        </w:rPr>
        <w:t>onnected mobility for NT-NTN continuity</w:t>
      </w:r>
      <w:r>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3931D6" w14:paraId="187CB000" w14:textId="77777777" w:rsidTr="003931D6">
        <w:tc>
          <w:tcPr>
            <w:tcW w:w="9629" w:type="dxa"/>
          </w:tcPr>
          <w:p w14:paraId="64E73649" w14:textId="245A5FB1" w:rsidR="00F2728C" w:rsidRPr="005E1D0F" w:rsidRDefault="00F2728C" w:rsidP="005E1D0F">
            <w:pPr>
              <w:pStyle w:val="a6"/>
              <w:numPr>
                <w:ilvl w:val="0"/>
                <w:numId w:val="41"/>
              </w:numPr>
              <w:spacing w:after="0"/>
              <w:ind w:firstLineChars="0"/>
              <w:rPr>
                <w:b/>
                <w:bCs/>
                <w:lang w:val="x-none"/>
              </w:rPr>
            </w:pPr>
            <w:r w:rsidRPr="005E1D0F">
              <w:rPr>
                <w:b/>
                <w:bCs/>
                <w:lang w:val="x-none"/>
              </w:rPr>
              <w:t>RAN2 down priorities further enhacnements for connected mode for Rel-17 for TN-NTN mobility.</w:t>
            </w:r>
          </w:p>
          <w:p w14:paraId="06B63E32" w14:textId="3A15D31B" w:rsidR="003931D6" w:rsidRPr="00686606" w:rsidRDefault="00F2728C" w:rsidP="005E1D0F">
            <w:pPr>
              <w:pStyle w:val="a6"/>
              <w:numPr>
                <w:ilvl w:val="0"/>
                <w:numId w:val="41"/>
              </w:numPr>
              <w:spacing w:after="0"/>
              <w:ind w:firstLineChars="0"/>
              <w:rPr>
                <w:b/>
                <w:bCs/>
                <w:i/>
                <w:iCs/>
              </w:rPr>
            </w:pPr>
            <w:r w:rsidRPr="005E1D0F">
              <w:rPr>
                <w:b/>
                <w:bCs/>
                <w:lang w:val="x-none"/>
              </w:rPr>
              <w:t>RAN2 continue discussing the exact solution for TN priorization over NTN for idle mode.</w:t>
            </w:r>
          </w:p>
        </w:tc>
      </w:tr>
    </w:tbl>
    <w:p w14:paraId="2F408294" w14:textId="60B6CF9E" w:rsidR="00182C9C" w:rsidRDefault="00686606" w:rsidP="000B6AD1">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his contribution further </w:t>
      </w:r>
      <w:r w:rsidR="00C95BF6">
        <w:rPr>
          <w:rFonts w:ascii="Times New Roman" w:hAnsi="Times New Roman"/>
          <w:sz w:val="20"/>
          <w:szCs w:val="20"/>
          <w:lang w:val="en-GB"/>
        </w:rPr>
        <w:t xml:space="preserve">analyses </w:t>
      </w:r>
      <w:r>
        <w:rPr>
          <w:rFonts w:ascii="Times New Roman" w:hAnsi="Times New Roman"/>
          <w:sz w:val="20"/>
          <w:szCs w:val="20"/>
          <w:lang w:val="en-GB"/>
        </w:rPr>
        <w:t xml:space="preserve">the </w:t>
      </w:r>
      <w:r w:rsidR="00C95BF6">
        <w:rPr>
          <w:rFonts w:ascii="Times New Roman" w:hAnsi="Times New Roman" w:hint="eastAsia"/>
          <w:sz w:val="20"/>
          <w:szCs w:val="20"/>
          <w:lang w:val="en-GB"/>
        </w:rPr>
        <w:t>applicability</w:t>
      </w:r>
      <w:r w:rsidR="00C95BF6">
        <w:rPr>
          <w:rFonts w:ascii="Times New Roman" w:hAnsi="Times New Roman"/>
          <w:sz w:val="20"/>
          <w:szCs w:val="20"/>
          <w:lang w:val="en-GB"/>
        </w:rPr>
        <w:t xml:space="preserve"> </w:t>
      </w:r>
      <w:r w:rsidR="00C95BF6">
        <w:rPr>
          <w:rFonts w:ascii="Times New Roman" w:hAnsi="Times New Roman" w:hint="eastAsia"/>
          <w:sz w:val="20"/>
          <w:szCs w:val="20"/>
          <w:lang w:val="en-GB"/>
        </w:rPr>
        <w:t>of</w:t>
      </w:r>
      <w:r w:rsidR="00C95BF6">
        <w:rPr>
          <w:rFonts w:ascii="Times New Roman" w:hAnsi="Times New Roman"/>
          <w:sz w:val="20"/>
          <w:szCs w:val="20"/>
          <w:lang w:val="en-GB"/>
        </w:rPr>
        <w:t xml:space="preserve"> intra-</w:t>
      </w:r>
      <w:r w:rsidR="00C95BF6">
        <w:rPr>
          <w:rFonts w:ascii="Times New Roman" w:hAnsi="Times New Roman" w:hint="eastAsia"/>
          <w:sz w:val="20"/>
          <w:szCs w:val="20"/>
          <w:lang w:val="en-GB"/>
        </w:rPr>
        <w:t>NTN</w:t>
      </w:r>
      <w:r w:rsidR="00C95BF6">
        <w:rPr>
          <w:rFonts w:ascii="Times New Roman" w:hAnsi="Times New Roman"/>
          <w:sz w:val="20"/>
          <w:szCs w:val="20"/>
          <w:lang w:val="en-GB"/>
        </w:rPr>
        <w:t xml:space="preserve"> mobility enhancements and possible issues for TN-NTN service continuity.</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51B19AE" w14:textId="59CA0ABC" w:rsidR="005E1D0F" w:rsidRDefault="005E1D0F" w:rsidP="00E541C0">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n RAN2#114e it was agreed that:</w:t>
      </w:r>
    </w:p>
    <w:tbl>
      <w:tblPr>
        <w:tblStyle w:val="af1"/>
        <w:tblW w:w="0" w:type="auto"/>
        <w:tblLook w:val="04A0" w:firstRow="1" w:lastRow="0" w:firstColumn="1" w:lastColumn="0" w:noHBand="0" w:noVBand="1"/>
      </w:tblPr>
      <w:tblGrid>
        <w:gridCol w:w="9629"/>
      </w:tblGrid>
      <w:tr w:rsidR="005E1D0F" w14:paraId="1BEA5FC0" w14:textId="77777777" w:rsidTr="005E1D0F">
        <w:trPr>
          <w:trHeight w:val="960"/>
        </w:trPr>
        <w:tc>
          <w:tcPr>
            <w:tcW w:w="9629" w:type="dxa"/>
          </w:tcPr>
          <w:p w14:paraId="51BB5CF7" w14:textId="213AC684" w:rsidR="005E1D0F" w:rsidRPr="005E1D0F" w:rsidRDefault="005E1D0F" w:rsidP="005E1D0F">
            <w:pPr>
              <w:pStyle w:val="a6"/>
              <w:numPr>
                <w:ilvl w:val="0"/>
                <w:numId w:val="41"/>
              </w:numPr>
              <w:spacing w:after="0"/>
              <w:ind w:firstLineChars="0"/>
              <w:rPr>
                <w:b/>
                <w:bCs/>
                <w:lang w:val="x-none"/>
              </w:rPr>
            </w:pPr>
            <w:r w:rsidRPr="005E1D0F">
              <w:rPr>
                <w:b/>
                <w:bCs/>
                <w:lang w:val="x-none"/>
              </w:rPr>
              <w:t>Same CHO trigger conditions and RRM events can be used within NTN and NTN-TN mobility provided these are supported by the UE. NTN-TN means both “from NTN to TN (hand-in)” and “from NTN to TN (hand-in) and from TN to NTN (hand-out)”. FFS for enhancements.</w:t>
            </w:r>
          </w:p>
        </w:tc>
      </w:tr>
    </w:tbl>
    <w:p w14:paraId="06BF8D27" w14:textId="65793D66" w:rsidR="001340B6" w:rsidRDefault="005E1D0F" w:rsidP="00E541C0">
      <w:pPr>
        <w:rPr>
          <w:rFonts w:ascii="Times New Roman" w:hAnsi="Times New Roman"/>
          <w:sz w:val="20"/>
          <w:szCs w:val="20"/>
          <w:lang w:val="en-GB"/>
        </w:rPr>
      </w:pPr>
      <w:r>
        <w:rPr>
          <w:rFonts w:ascii="Times New Roman" w:hAnsi="Times New Roman"/>
          <w:sz w:val="20"/>
          <w:szCs w:val="20"/>
          <w:lang w:val="en-GB"/>
        </w:rPr>
        <w:t>And d</w:t>
      </w:r>
      <w:r w:rsidR="00767447">
        <w:rPr>
          <w:rFonts w:ascii="Times New Roman" w:hAnsi="Times New Roman"/>
          <w:sz w:val="20"/>
          <w:szCs w:val="20"/>
          <w:lang w:val="en-GB"/>
        </w:rPr>
        <w:t xml:space="preserve">uring RAN2#115e there was email discussion for </w:t>
      </w:r>
      <w:r w:rsidR="00767447">
        <w:rPr>
          <w:rFonts w:ascii="Times New Roman" w:hAnsi="Times New Roman" w:hint="eastAsia"/>
          <w:sz w:val="20"/>
          <w:szCs w:val="20"/>
          <w:lang w:val="en-GB"/>
        </w:rPr>
        <w:t>TN-NTN</w:t>
      </w:r>
      <w:r w:rsidR="00767447">
        <w:rPr>
          <w:rFonts w:ascii="Times New Roman" w:hAnsi="Times New Roman"/>
          <w:sz w:val="20"/>
          <w:szCs w:val="20"/>
          <w:lang w:val="en-GB"/>
        </w:rPr>
        <w:t xml:space="preserve"> </w:t>
      </w:r>
      <w:r w:rsidR="00767447">
        <w:rPr>
          <w:rFonts w:ascii="Times New Roman" w:hAnsi="Times New Roman" w:hint="eastAsia"/>
          <w:sz w:val="20"/>
          <w:szCs w:val="20"/>
          <w:lang w:val="en-GB"/>
        </w:rPr>
        <w:t>mobility</w:t>
      </w:r>
      <w:r w:rsidR="00767447">
        <w:rPr>
          <w:rFonts w:ascii="Times New Roman" w:hAnsi="Times New Roman"/>
          <w:sz w:val="20"/>
          <w:szCs w:val="20"/>
          <w:lang w:val="en-GB"/>
        </w:rPr>
        <w:t>,</w:t>
      </w:r>
      <w:r>
        <w:rPr>
          <w:rFonts w:ascii="Times New Roman" w:hAnsi="Times New Roman"/>
          <w:sz w:val="20"/>
          <w:szCs w:val="20"/>
          <w:lang w:val="en-GB"/>
        </w:rPr>
        <w:t xml:space="preserve"> wherein the necessity of further enhancements was discussed. Some companies would like to wait for the </w:t>
      </w:r>
      <w:r>
        <w:rPr>
          <w:rFonts w:ascii="Times New Roman" w:hAnsi="Times New Roman" w:hint="eastAsia"/>
          <w:sz w:val="20"/>
          <w:szCs w:val="20"/>
          <w:lang w:val="en-GB"/>
        </w:rPr>
        <w:t>final</w:t>
      </w:r>
      <w:r>
        <w:rPr>
          <w:rFonts w:ascii="Times New Roman" w:hAnsi="Times New Roman"/>
          <w:sz w:val="20"/>
          <w:szCs w:val="20"/>
          <w:lang w:val="en-GB"/>
        </w:rPr>
        <w:t xml:space="preserve"> details if NTN CHO enhancements to see if applicable to TN-NTN mobility, while other companies consider that NTN CHO enhancements are sufficient. Based on the majority views it was agreed to </w:t>
      </w:r>
      <w:r w:rsidRPr="005E1D0F">
        <w:rPr>
          <w:rFonts w:ascii="Times New Roman" w:hAnsi="Times New Roman"/>
          <w:sz w:val="20"/>
          <w:szCs w:val="20"/>
          <w:lang w:val="en-GB"/>
        </w:rPr>
        <w:t>down priorit</w:t>
      </w:r>
      <w:r>
        <w:rPr>
          <w:rFonts w:ascii="Times New Roman" w:hAnsi="Times New Roman"/>
          <w:sz w:val="20"/>
          <w:szCs w:val="20"/>
          <w:lang w:val="en-GB"/>
        </w:rPr>
        <w:t>ize</w:t>
      </w:r>
      <w:r w:rsidRPr="005E1D0F">
        <w:rPr>
          <w:rFonts w:ascii="Times New Roman" w:hAnsi="Times New Roman"/>
          <w:sz w:val="20"/>
          <w:szCs w:val="20"/>
          <w:lang w:val="en-GB"/>
        </w:rPr>
        <w:t xml:space="preserve"> further enhancements for connected mode for Rel-17 for TN-NTN mobility</w:t>
      </w:r>
      <w:r>
        <w:rPr>
          <w:rFonts w:ascii="Times New Roman" w:hAnsi="Times New Roman"/>
          <w:sz w:val="20"/>
          <w:szCs w:val="20"/>
          <w:lang w:val="en-GB"/>
        </w:rPr>
        <w:t>.</w:t>
      </w:r>
    </w:p>
    <w:p w14:paraId="7859904C" w14:textId="76B3C2C5" w:rsidR="001340B6" w:rsidRDefault="005E1D0F" w:rsidP="005E1D0F">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rom the mobility perspective, there could be little necessity of further enhancement between TN and NTN. However as mentioned i</w:t>
      </w:r>
      <w:r w:rsidRPr="00767447">
        <w:rPr>
          <w:rFonts w:ascii="Times New Roman" w:hAnsi="Times New Roman"/>
          <w:sz w:val="20"/>
          <w:szCs w:val="20"/>
          <w:lang w:val="en-GB"/>
        </w:rPr>
        <w:t>n TS 22.261</w:t>
      </w:r>
      <w:r>
        <w:rPr>
          <w:rFonts w:ascii="Times New Roman" w:hAnsi="Times New Roman"/>
          <w:sz w:val="20"/>
          <w:szCs w:val="20"/>
          <w:lang w:val="en-GB"/>
        </w:rPr>
        <w:t xml:space="preserve">, </w:t>
      </w:r>
      <w:r w:rsidR="002B6283">
        <w:rPr>
          <w:rFonts w:ascii="Times New Roman" w:hAnsi="Times New Roman"/>
          <w:sz w:val="20"/>
          <w:szCs w:val="20"/>
          <w:lang w:val="en-GB"/>
        </w:rPr>
        <w:t>“</w:t>
      </w:r>
      <w:r>
        <w:rPr>
          <w:rFonts w:ascii="Times New Roman" w:hAnsi="Times New Roman"/>
          <w:sz w:val="20"/>
          <w:szCs w:val="20"/>
          <w:lang w:val="en-GB"/>
        </w:rPr>
        <w:t>t</w:t>
      </w:r>
      <w:r w:rsidR="00767447" w:rsidRPr="00767447">
        <w:rPr>
          <w:rFonts w:ascii="Times New Roman" w:hAnsi="Times New Roman"/>
          <w:sz w:val="20"/>
          <w:szCs w:val="20"/>
          <w:lang w:val="en-GB"/>
        </w:rPr>
        <w:t>he 5G system shall support service continuity between 5G terrestrial access network and 5G satellite access networks owned by the same operator or owned by 2 different operators having an agreement</w:t>
      </w:r>
      <w:r w:rsidR="002B6283">
        <w:rPr>
          <w:rFonts w:ascii="Times New Roman" w:hAnsi="Times New Roman"/>
          <w:sz w:val="20"/>
          <w:szCs w:val="20"/>
          <w:lang w:val="en-GB"/>
        </w:rPr>
        <w:t>”</w:t>
      </w:r>
      <w:r w:rsidR="00767447" w:rsidRPr="00767447">
        <w:rPr>
          <w:rFonts w:ascii="Times New Roman" w:hAnsi="Times New Roman"/>
          <w:sz w:val="20"/>
          <w:szCs w:val="20"/>
          <w:lang w:val="en-GB"/>
        </w:rPr>
        <w:t>.</w:t>
      </w:r>
      <w:r w:rsidR="002B6283">
        <w:rPr>
          <w:rFonts w:ascii="Times New Roman" w:hAnsi="Times New Roman"/>
          <w:sz w:val="20"/>
          <w:szCs w:val="20"/>
          <w:lang w:val="en-GB"/>
        </w:rPr>
        <w:t xml:space="preserve"> From the perspective of service continuity, additional work to guarantee it may still be needed.</w:t>
      </w:r>
    </w:p>
    <w:p w14:paraId="064EC512" w14:textId="23B6CADA" w:rsidR="002B6283" w:rsidRDefault="002B6283" w:rsidP="005E1D0F">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ake the NTN CHO enhancements as an example. For NR NTN it was agreed to introduce location-based and time-based conditions for executing CHO between NTN cells. If the location-based condition is configured, UE shall evaluate its distances to the reference points (i.e. cell centre) of serving and candidate neighbouring cells, and execute CHO if conditions are fulfilled. If the time-based condition is configured, UE shall evaluate in a given time period (T1 as start of evaluation and T2 as the end of evaluation), and execute CHO if conditions are fulfilled. </w:t>
      </w:r>
      <w:r w:rsidR="00B353B1">
        <w:rPr>
          <w:rFonts w:ascii="Times New Roman" w:hAnsi="Times New Roman"/>
          <w:sz w:val="20"/>
          <w:szCs w:val="20"/>
          <w:lang w:val="en-GB"/>
        </w:rPr>
        <w:t>The location-based or time-based conditions are introduced considering the fuzzy RSRP difference in an NTN cell and between NTN cells, allowing NTN to configure CHO conditions more flexibly and efficiently. However even with such enhancements, the data transmission between UE and network may still be interrupted during execution of handover</w:t>
      </w:r>
      <w:r w:rsidR="00226616">
        <w:rPr>
          <w:rFonts w:ascii="Times New Roman" w:hAnsi="Times New Roman"/>
          <w:sz w:val="20"/>
          <w:szCs w:val="20"/>
          <w:lang w:val="en-GB"/>
        </w:rPr>
        <w:t>, wherein UE needs to disconnect from the serving cell and establish connection to the target cell. The large propagation delay from NTN gNB to the UE, and possibly the larger propagation delay between NTN gNBs could still cause service interruption. This issue may not be solved by the NTN CHO enhancements.</w:t>
      </w:r>
    </w:p>
    <w:p w14:paraId="44C826D0" w14:textId="5A7852F1" w:rsidR="001340B6" w:rsidRPr="0079321C" w:rsidRDefault="0079321C" w:rsidP="001340B6">
      <w:pPr>
        <w:rPr>
          <w:rFonts w:ascii="Times New Roman" w:hAnsi="Times New Roman"/>
          <w:b/>
          <w:bCs/>
          <w:sz w:val="20"/>
          <w:szCs w:val="20"/>
          <w:lang w:val="en-GB"/>
        </w:rPr>
      </w:pPr>
      <w:r w:rsidRPr="0079321C">
        <w:rPr>
          <w:rFonts w:ascii="Times New Roman" w:hAnsi="Times New Roman"/>
          <w:b/>
          <w:bCs/>
          <w:sz w:val="20"/>
          <w:szCs w:val="20"/>
          <w:lang w:val="en-GB"/>
        </w:rPr>
        <w:t xml:space="preserve">Observation </w:t>
      </w:r>
      <w:r w:rsidR="005E1D0F">
        <w:rPr>
          <w:rFonts w:ascii="Times New Roman" w:hAnsi="Times New Roman"/>
          <w:b/>
          <w:bCs/>
          <w:sz w:val="20"/>
          <w:szCs w:val="20"/>
          <w:lang w:val="en-GB"/>
        </w:rPr>
        <w:t>1</w:t>
      </w:r>
      <w:r w:rsidRPr="0079321C">
        <w:rPr>
          <w:rFonts w:ascii="Times New Roman" w:hAnsi="Times New Roman"/>
          <w:b/>
          <w:bCs/>
          <w:sz w:val="20"/>
          <w:szCs w:val="20"/>
          <w:lang w:val="en-GB"/>
        </w:rPr>
        <w:t xml:space="preserve">: </w:t>
      </w:r>
      <w:r w:rsidR="001340B6" w:rsidRPr="0079321C">
        <w:rPr>
          <w:rFonts w:ascii="Times New Roman" w:hAnsi="Times New Roman" w:hint="eastAsia"/>
          <w:b/>
          <w:bCs/>
          <w:sz w:val="20"/>
          <w:szCs w:val="20"/>
          <w:lang w:val="en-GB"/>
        </w:rPr>
        <w:t>T</w:t>
      </w:r>
      <w:r w:rsidR="001340B6" w:rsidRPr="0079321C">
        <w:rPr>
          <w:rFonts w:ascii="Times New Roman" w:hAnsi="Times New Roman"/>
          <w:b/>
          <w:bCs/>
          <w:sz w:val="20"/>
          <w:szCs w:val="20"/>
          <w:lang w:val="en-GB"/>
        </w:rPr>
        <w:t xml:space="preserve">he service continuity issues may not be solved by applying intra-NTN enhancements for connected mobility. Further enhancement </w:t>
      </w:r>
      <w:r w:rsidR="005E1D0F">
        <w:rPr>
          <w:rFonts w:ascii="Times New Roman" w:hAnsi="Times New Roman"/>
          <w:b/>
          <w:bCs/>
          <w:sz w:val="20"/>
          <w:szCs w:val="20"/>
          <w:lang w:val="en-GB"/>
        </w:rPr>
        <w:t>could be</w:t>
      </w:r>
      <w:r w:rsidR="001340B6" w:rsidRPr="0079321C">
        <w:rPr>
          <w:rFonts w:ascii="Times New Roman" w:hAnsi="Times New Roman"/>
          <w:b/>
          <w:bCs/>
          <w:sz w:val="20"/>
          <w:szCs w:val="20"/>
          <w:lang w:val="en-GB"/>
        </w:rPr>
        <w:t xml:space="preserve"> necessary</w:t>
      </w:r>
      <w:r w:rsidRPr="0079321C">
        <w:rPr>
          <w:rFonts w:ascii="Times New Roman" w:hAnsi="Times New Roman"/>
          <w:b/>
          <w:bCs/>
          <w:sz w:val="20"/>
          <w:szCs w:val="20"/>
          <w:lang w:val="en-GB"/>
        </w:rPr>
        <w:t xml:space="preserve"> for TN-NTN service continuity.</w:t>
      </w:r>
    </w:p>
    <w:p w14:paraId="424A8BEB" w14:textId="4634A889" w:rsidR="0079321C" w:rsidRDefault="00226616" w:rsidP="001340B6">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o guarantee the service continuity between TN and NTN, some existing mobility mechanisms can be considered, including DAPS. If DAPS is supported in NTN, UE may maintain connection to TN and NTN at the same time during handover and thus the service continuity can be en</w:t>
      </w:r>
      <w:r>
        <w:rPr>
          <w:rFonts w:ascii="Times New Roman" w:hAnsi="Times New Roman" w:hint="eastAsia"/>
          <w:sz w:val="20"/>
          <w:szCs w:val="20"/>
          <w:lang w:val="en-GB"/>
        </w:rPr>
        <w:t>sured</w:t>
      </w:r>
      <w:r>
        <w:rPr>
          <w:rFonts w:ascii="Times New Roman" w:hAnsi="Times New Roman"/>
          <w:sz w:val="20"/>
          <w:szCs w:val="20"/>
          <w:lang w:val="en-GB"/>
        </w:rPr>
        <w:t xml:space="preserve"> regardless of the propagation delays. Besides, from technical </w:t>
      </w:r>
      <w:r>
        <w:rPr>
          <w:rFonts w:ascii="Times New Roman" w:hAnsi="Times New Roman"/>
          <w:sz w:val="20"/>
          <w:szCs w:val="20"/>
          <w:lang w:val="en-GB"/>
        </w:rPr>
        <w:lastRenderedPageBreak/>
        <w:t>perspective DAPS can be applied to NTN directly or possibly with only minor enhancements.</w:t>
      </w:r>
    </w:p>
    <w:p w14:paraId="6D3270CD" w14:textId="0312F0F5" w:rsidR="00210130" w:rsidRDefault="00210130" w:rsidP="00210130">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0B3389B4" wp14:editId="7D6ABE49">
            <wp:extent cx="4739955" cy="22234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9383" cy="2227862"/>
                    </a:xfrm>
                    <a:prstGeom prst="rect">
                      <a:avLst/>
                    </a:prstGeom>
                    <a:noFill/>
                  </pic:spPr>
                </pic:pic>
              </a:graphicData>
            </a:graphic>
          </wp:inline>
        </w:drawing>
      </w:r>
    </w:p>
    <w:p w14:paraId="08B292FE" w14:textId="59B4F235" w:rsidR="00210130" w:rsidRDefault="00210130" w:rsidP="00210130">
      <w:pPr>
        <w:jc w:val="center"/>
        <w:rPr>
          <w:rFonts w:ascii="Times New Roman" w:hAnsi="Times New Roman" w:hint="eastAsia"/>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igure 1. DAPS for TN-NTN service continuity</w:t>
      </w:r>
    </w:p>
    <w:p w14:paraId="1F7E82C2" w14:textId="4F3B00D7" w:rsidR="001340B6" w:rsidRPr="0079321C" w:rsidRDefault="0079321C" w:rsidP="00E541C0">
      <w:pPr>
        <w:rPr>
          <w:rFonts w:ascii="Times New Roman" w:hAnsi="Times New Roman"/>
          <w:b/>
          <w:bCs/>
          <w:sz w:val="20"/>
          <w:szCs w:val="20"/>
          <w:lang w:val="en-GB"/>
        </w:rPr>
      </w:pPr>
      <w:r w:rsidRPr="0079321C">
        <w:rPr>
          <w:rFonts w:ascii="Times New Roman" w:hAnsi="Times New Roman" w:hint="eastAsia"/>
          <w:b/>
          <w:bCs/>
          <w:sz w:val="20"/>
          <w:szCs w:val="20"/>
          <w:lang w:val="en-GB"/>
        </w:rPr>
        <w:t>O</w:t>
      </w:r>
      <w:r w:rsidRPr="0079321C">
        <w:rPr>
          <w:rFonts w:ascii="Times New Roman" w:hAnsi="Times New Roman"/>
          <w:b/>
          <w:bCs/>
          <w:sz w:val="20"/>
          <w:szCs w:val="20"/>
          <w:lang w:val="en-GB"/>
        </w:rPr>
        <w:t xml:space="preserve">bservation </w:t>
      </w:r>
      <w:r w:rsidR="005E1D0F">
        <w:rPr>
          <w:rFonts w:ascii="Times New Roman" w:hAnsi="Times New Roman"/>
          <w:b/>
          <w:bCs/>
          <w:sz w:val="20"/>
          <w:szCs w:val="20"/>
          <w:lang w:val="en-GB"/>
        </w:rPr>
        <w:t>2</w:t>
      </w:r>
      <w:r w:rsidRPr="0079321C">
        <w:rPr>
          <w:rFonts w:ascii="Times New Roman" w:hAnsi="Times New Roman"/>
          <w:b/>
          <w:bCs/>
          <w:sz w:val="20"/>
          <w:szCs w:val="20"/>
          <w:lang w:val="en-GB"/>
        </w:rPr>
        <w:t>: Existing mobility mechanisms including DAPS may guarantee TN-NTN service continuity.</w:t>
      </w:r>
    </w:p>
    <w:p w14:paraId="0164ABF0" w14:textId="62D28C95" w:rsidR="0079321C" w:rsidRDefault="00226616" w:rsidP="00E541C0">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herefore it is proposed to consider support DAPS in NTN for the sake of </w:t>
      </w:r>
      <w:r w:rsidRPr="00226616">
        <w:rPr>
          <w:rFonts w:ascii="Times New Roman" w:hAnsi="Times New Roman"/>
          <w:sz w:val="20"/>
          <w:szCs w:val="20"/>
          <w:lang w:val="en-GB"/>
        </w:rPr>
        <w:t>TN-NTN service continuity</w:t>
      </w:r>
      <w:r>
        <w:rPr>
          <w:rFonts w:ascii="Times New Roman" w:hAnsi="Times New Roman"/>
          <w:sz w:val="20"/>
          <w:szCs w:val="20"/>
          <w:lang w:val="en-GB"/>
        </w:rPr>
        <w:t>. Other enhancements can be considered in further releases if any.</w:t>
      </w:r>
    </w:p>
    <w:p w14:paraId="3225E9C8" w14:textId="2AC3A879" w:rsidR="0079321C" w:rsidRPr="0079321C" w:rsidRDefault="0079321C" w:rsidP="00E541C0">
      <w:pPr>
        <w:rPr>
          <w:rFonts w:ascii="Times New Roman" w:hAnsi="Times New Roman"/>
          <w:b/>
          <w:bCs/>
          <w:sz w:val="20"/>
          <w:szCs w:val="20"/>
          <w:lang w:val="en-GB"/>
        </w:rPr>
      </w:pPr>
      <w:r w:rsidRPr="0079321C">
        <w:rPr>
          <w:rFonts w:ascii="Times New Roman" w:hAnsi="Times New Roman" w:hint="eastAsia"/>
          <w:b/>
          <w:bCs/>
          <w:sz w:val="20"/>
          <w:szCs w:val="20"/>
          <w:lang w:val="en-GB"/>
        </w:rPr>
        <w:t>P</w:t>
      </w:r>
      <w:r w:rsidRPr="0079321C">
        <w:rPr>
          <w:rFonts w:ascii="Times New Roman" w:hAnsi="Times New Roman"/>
          <w:b/>
          <w:bCs/>
          <w:sz w:val="20"/>
          <w:szCs w:val="20"/>
          <w:lang w:val="en-GB"/>
        </w:rPr>
        <w:t>roposal 1: RAN2</w:t>
      </w:r>
      <w:r>
        <w:rPr>
          <w:rFonts w:ascii="Times New Roman" w:hAnsi="Times New Roman"/>
          <w:b/>
          <w:bCs/>
          <w:sz w:val="20"/>
          <w:szCs w:val="20"/>
          <w:lang w:val="en-GB"/>
        </w:rPr>
        <w:t xml:space="preserve"> may</w:t>
      </w:r>
      <w:r w:rsidRPr="0079321C">
        <w:rPr>
          <w:rFonts w:ascii="Times New Roman" w:hAnsi="Times New Roman"/>
          <w:b/>
          <w:bCs/>
          <w:sz w:val="20"/>
          <w:szCs w:val="20"/>
          <w:lang w:val="en-GB"/>
        </w:rPr>
        <w:t xml:space="preserve"> consider support of DAPS in NR NTN for TN-NTN service continuity if time allows.</w:t>
      </w:r>
    </w:p>
    <w:p w14:paraId="7305BA45" w14:textId="210A971A" w:rsidR="0079321C" w:rsidRPr="0079321C" w:rsidRDefault="00226616" w:rsidP="00E541C0">
      <w:pPr>
        <w:rPr>
          <w:rFonts w:ascii="Times New Roman" w:hAnsi="Times New Roman"/>
          <w:b/>
          <w:bCs/>
          <w:sz w:val="20"/>
          <w:szCs w:val="20"/>
          <w:lang w:val="en-GB"/>
        </w:rPr>
      </w:pPr>
      <w:r>
        <w:rPr>
          <w:rFonts w:ascii="Times New Roman" w:hAnsi="Times New Roman"/>
          <w:sz w:val="20"/>
          <w:szCs w:val="20"/>
          <w:lang w:val="en-GB"/>
        </w:rPr>
        <w:t>During the email discussion the idle mobility between TN and NTN was also discussed. Fo</w:t>
      </w:r>
      <w:r w:rsidR="0079321C" w:rsidRPr="00226616">
        <w:rPr>
          <w:rFonts w:ascii="Times New Roman" w:hAnsi="Times New Roman"/>
          <w:sz w:val="20"/>
          <w:szCs w:val="20"/>
          <w:lang w:val="en-GB"/>
        </w:rPr>
        <w:t xml:space="preserve">r TN-NTN idle mobility, there </w:t>
      </w:r>
      <w:r>
        <w:rPr>
          <w:rFonts w:ascii="Times New Roman" w:hAnsi="Times New Roman"/>
          <w:sz w:val="20"/>
          <w:szCs w:val="20"/>
          <w:lang w:val="en-GB"/>
        </w:rPr>
        <w:t xml:space="preserve">has been some motivations of </w:t>
      </w:r>
      <w:r w:rsidRPr="00226616">
        <w:rPr>
          <w:rFonts w:ascii="Times New Roman" w:hAnsi="Times New Roman"/>
          <w:sz w:val="20"/>
          <w:szCs w:val="20"/>
          <w:lang w:val="en-GB"/>
        </w:rPr>
        <w:t xml:space="preserve">prioritizing TN </w:t>
      </w:r>
      <w:r>
        <w:rPr>
          <w:rFonts w:ascii="Times New Roman" w:hAnsi="Times New Roman"/>
          <w:sz w:val="20"/>
          <w:szCs w:val="20"/>
          <w:lang w:val="en-GB"/>
        </w:rPr>
        <w:t>over</w:t>
      </w:r>
      <w:r w:rsidRPr="00226616">
        <w:rPr>
          <w:rFonts w:ascii="Times New Roman" w:hAnsi="Times New Roman"/>
          <w:sz w:val="20"/>
          <w:szCs w:val="20"/>
          <w:lang w:val="en-GB"/>
        </w:rPr>
        <w:t xml:space="preserve"> NTN</w:t>
      </w:r>
      <w:r>
        <w:rPr>
          <w:rFonts w:ascii="Times New Roman" w:hAnsi="Times New Roman"/>
          <w:sz w:val="20"/>
          <w:szCs w:val="20"/>
          <w:lang w:val="en-GB"/>
        </w:rPr>
        <w:t>. However as</w:t>
      </w:r>
      <w:r w:rsidR="001F74F7" w:rsidRPr="001F74F7">
        <w:rPr>
          <w:rFonts w:ascii="Times New Roman" w:hAnsi="Times New Roman"/>
          <w:sz w:val="20"/>
          <w:szCs w:val="20"/>
          <w:lang w:val="en-GB"/>
        </w:rPr>
        <w:t xml:space="preserve"> </w:t>
      </w:r>
      <w:r w:rsidR="001F74F7" w:rsidRPr="00226616">
        <w:rPr>
          <w:rFonts w:ascii="Times New Roman" w:hAnsi="Times New Roman"/>
          <w:sz w:val="20"/>
          <w:szCs w:val="20"/>
          <w:lang w:val="en-GB"/>
        </w:rPr>
        <w:t xml:space="preserve">NTN and TN </w:t>
      </w:r>
      <w:r w:rsidR="001F74F7">
        <w:rPr>
          <w:rFonts w:ascii="Times New Roman" w:hAnsi="Times New Roman"/>
          <w:sz w:val="20"/>
          <w:szCs w:val="20"/>
          <w:lang w:val="en-GB"/>
        </w:rPr>
        <w:t xml:space="preserve">will possibly </w:t>
      </w:r>
      <w:r w:rsidR="001F74F7" w:rsidRPr="00226616">
        <w:rPr>
          <w:rFonts w:ascii="Times New Roman" w:hAnsi="Times New Roman"/>
          <w:sz w:val="20"/>
          <w:szCs w:val="20"/>
          <w:lang w:val="en-GB"/>
        </w:rPr>
        <w:t>use different frequency bands</w:t>
      </w:r>
      <w:r w:rsidR="001F74F7">
        <w:rPr>
          <w:rFonts w:ascii="Times New Roman" w:hAnsi="Times New Roman"/>
          <w:sz w:val="20"/>
          <w:szCs w:val="20"/>
          <w:lang w:val="en-GB"/>
        </w:rPr>
        <w:t>, there</w:t>
      </w:r>
      <w:r w:rsidRPr="00226616">
        <w:rPr>
          <w:rFonts w:ascii="Times New Roman" w:hAnsi="Times New Roman"/>
          <w:sz w:val="20"/>
          <w:szCs w:val="20"/>
          <w:lang w:val="en-GB"/>
        </w:rPr>
        <w:t xml:space="preserve"> </w:t>
      </w:r>
      <w:r w:rsidR="0079321C" w:rsidRPr="00226616">
        <w:rPr>
          <w:rFonts w:ascii="Times New Roman" w:hAnsi="Times New Roman"/>
          <w:sz w:val="20"/>
          <w:szCs w:val="20"/>
          <w:lang w:val="en-GB"/>
        </w:rPr>
        <w:t>is no need of further enhancement</w:t>
      </w:r>
      <w:r w:rsidR="001F74F7">
        <w:rPr>
          <w:rFonts w:ascii="Times New Roman" w:hAnsi="Times New Roman"/>
          <w:sz w:val="20"/>
          <w:szCs w:val="20"/>
          <w:lang w:val="en-GB"/>
        </w:rPr>
        <w:t xml:space="preserve"> and t</w:t>
      </w:r>
      <w:r w:rsidR="0079321C" w:rsidRPr="00226616">
        <w:rPr>
          <w:rFonts w:ascii="Times New Roman" w:hAnsi="Times New Roman"/>
          <w:sz w:val="20"/>
          <w:szCs w:val="20"/>
          <w:lang w:val="en-GB"/>
        </w:rPr>
        <w:t xml:space="preserve">he legacy frequency priority can </w:t>
      </w:r>
      <w:r w:rsidR="00210130">
        <w:rPr>
          <w:rFonts w:ascii="Times New Roman" w:hAnsi="Times New Roman"/>
          <w:sz w:val="20"/>
          <w:szCs w:val="20"/>
          <w:lang w:val="en-GB"/>
        </w:rPr>
        <w:t xml:space="preserve">do the </w:t>
      </w:r>
      <w:r w:rsidR="0079321C" w:rsidRPr="00226616">
        <w:rPr>
          <w:rFonts w:ascii="Times New Roman" w:hAnsi="Times New Roman"/>
          <w:sz w:val="20"/>
          <w:szCs w:val="20"/>
          <w:lang w:val="en-GB"/>
        </w:rPr>
        <w:t>work.</w:t>
      </w:r>
    </w:p>
    <w:p w14:paraId="611BD290" w14:textId="26E7A27D" w:rsidR="0079321C" w:rsidRPr="0000153C" w:rsidRDefault="0000153C" w:rsidP="00E541C0">
      <w:pPr>
        <w:rPr>
          <w:rFonts w:ascii="Times New Roman" w:hAnsi="Times New Roman"/>
          <w:b/>
          <w:bCs/>
          <w:sz w:val="20"/>
          <w:szCs w:val="20"/>
          <w:lang w:val="en-GB"/>
        </w:rPr>
      </w:pPr>
      <w:r w:rsidRPr="0000153C">
        <w:rPr>
          <w:rFonts w:ascii="Times New Roman" w:hAnsi="Times New Roman" w:hint="eastAsia"/>
          <w:b/>
          <w:bCs/>
          <w:sz w:val="20"/>
          <w:szCs w:val="20"/>
          <w:lang w:val="en-GB"/>
        </w:rPr>
        <w:t>P</w:t>
      </w:r>
      <w:r w:rsidRPr="0000153C">
        <w:rPr>
          <w:rFonts w:ascii="Times New Roman" w:hAnsi="Times New Roman"/>
          <w:b/>
          <w:bCs/>
          <w:sz w:val="20"/>
          <w:szCs w:val="20"/>
          <w:lang w:val="en-GB"/>
        </w:rPr>
        <w:t>roposal 2: The frequency-based priorities are used to prioritize TN over NTN by setting the frequency bands of TN with higher priority than that of NTN.</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00C1F822"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632713">
        <w:rPr>
          <w:rFonts w:ascii="Times New Roman" w:hAnsi="Times New Roman"/>
          <w:sz w:val="20"/>
          <w:szCs w:val="20"/>
        </w:rPr>
        <w:t xml:space="preserve">we discuss </w:t>
      </w:r>
      <w:r w:rsidR="001F74F7" w:rsidRPr="001F74F7">
        <w:rPr>
          <w:rFonts w:ascii="Times New Roman" w:hAnsi="Times New Roman"/>
          <w:sz w:val="20"/>
          <w:szCs w:val="20"/>
          <w:lang w:val="en-GB"/>
        </w:rPr>
        <w:t>the applicability of intra-NTN mobility enhancements and possible issues for TN-NTN service continuity</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4578B8A5" w14:textId="77777777" w:rsidR="001F74F7" w:rsidRPr="0079321C" w:rsidRDefault="001F74F7" w:rsidP="001F74F7">
      <w:pPr>
        <w:rPr>
          <w:rFonts w:ascii="Times New Roman" w:hAnsi="Times New Roman"/>
          <w:b/>
          <w:bCs/>
          <w:sz w:val="20"/>
          <w:szCs w:val="20"/>
          <w:lang w:val="en-GB"/>
        </w:rPr>
      </w:pPr>
      <w:r w:rsidRPr="0079321C">
        <w:rPr>
          <w:rFonts w:ascii="Times New Roman" w:hAnsi="Times New Roman"/>
          <w:b/>
          <w:bCs/>
          <w:sz w:val="20"/>
          <w:szCs w:val="20"/>
          <w:lang w:val="en-GB"/>
        </w:rPr>
        <w:t xml:space="preserve">Observation </w:t>
      </w:r>
      <w:r>
        <w:rPr>
          <w:rFonts w:ascii="Times New Roman" w:hAnsi="Times New Roman"/>
          <w:b/>
          <w:bCs/>
          <w:sz w:val="20"/>
          <w:szCs w:val="20"/>
          <w:lang w:val="en-GB"/>
        </w:rPr>
        <w:t>1</w:t>
      </w:r>
      <w:r w:rsidRPr="0079321C">
        <w:rPr>
          <w:rFonts w:ascii="Times New Roman" w:hAnsi="Times New Roman"/>
          <w:b/>
          <w:bCs/>
          <w:sz w:val="20"/>
          <w:szCs w:val="20"/>
          <w:lang w:val="en-GB"/>
        </w:rPr>
        <w:t xml:space="preserve">: </w:t>
      </w:r>
      <w:r w:rsidRPr="0079321C">
        <w:rPr>
          <w:rFonts w:ascii="Times New Roman" w:hAnsi="Times New Roman" w:hint="eastAsia"/>
          <w:b/>
          <w:bCs/>
          <w:sz w:val="20"/>
          <w:szCs w:val="20"/>
          <w:lang w:val="en-GB"/>
        </w:rPr>
        <w:t>T</w:t>
      </w:r>
      <w:r w:rsidRPr="0079321C">
        <w:rPr>
          <w:rFonts w:ascii="Times New Roman" w:hAnsi="Times New Roman"/>
          <w:b/>
          <w:bCs/>
          <w:sz w:val="20"/>
          <w:szCs w:val="20"/>
          <w:lang w:val="en-GB"/>
        </w:rPr>
        <w:t xml:space="preserve">he service continuity issues may not be solved by applying intra-NTN enhancements for connected mobility. Further enhancement </w:t>
      </w:r>
      <w:r>
        <w:rPr>
          <w:rFonts w:ascii="Times New Roman" w:hAnsi="Times New Roman"/>
          <w:b/>
          <w:bCs/>
          <w:sz w:val="20"/>
          <w:szCs w:val="20"/>
          <w:lang w:val="en-GB"/>
        </w:rPr>
        <w:t>could be</w:t>
      </w:r>
      <w:r w:rsidRPr="0079321C">
        <w:rPr>
          <w:rFonts w:ascii="Times New Roman" w:hAnsi="Times New Roman"/>
          <w:b/>
          <w:bCs/>
          <w:sz w:val="20"/>
          <w:szCs w:val="20"/>
          <w:lang w:val="en-GB"/>
        </w:rPr>
        <w:t xml:space="preserve"> necessary for TN-NTN service continuity.</w:t>
      </w:r>
    </w:p>
    <w:p w14:paraId="435075BF" w14:textId="77777777" w:rsidR="001F74F7" w:rsidRPr="0079321C" w:rsidRDefault="001F74F7" w:rsidP="001F74F7">
      <w:pPr>
        <w:rPr>
          <w:rFonts w:ascii="Times New Roman" w:hAnsi="Times New Roman"/>
          <w:b/>
          <w:bCs/>
          <w:sz w:val="20"/>
          <w:szCs w:val="20"/>
          <w:lang w:val="en-GB"/>
        </w:rPr>
      </w:pPr>
      <w:r w:rsidRPr="0079321C">
        <w:rPr>
          <w:rFonts w:ascii="Times New Roman" w:hAnsi="Times New Roman" w:hint="eastAsia"/>
          <w:b/>
          <w:bCs/>
          <w:sz w:val="20"/>
          <w:szCs w:val="20"/>
          <w:lang w:val="en-GB"/>
        </w:rPr>
        <w:t>O</w:t>
      </w:r>
      <w:r w:rsidRPr="0079321C">
        <w:rPr>
          <w:rFonts w:ascii="Times New Roman" w:hAnsi="Times New Roman"/>
          <w:b/>
          <w:bCs/>
          <w:sz w:val="20"/>
          <w:szCs w:val="20"/>
          <w:lang w:val="en-GB"/>
        </w:rPr>
        <w:t xml:space="preserve">bservation </w:t>
      </w:r>
      <w:r>
        <w:rPr>
          <w:rFonts w:ascii="Times New Roman" w:hAnsi="Times New Roman"/>
          <w:b/>
          <w:bCs/>
          <w:sz w:val="20"/>
          <w:szCs w:val="20"/>
          <w:lang w:val="en-GB"/>
        </w:rPr>
        <w:t>2</w:t>
      </w:r>
      <w:r w:rsidRPr="0079321C">
        <w:rPr>
          <w:rFonts w:ascii="Times New Roman" w:hAnsi="Times New Roman"/>
          <w:b/>
          <w:bCs/>
          <w:sz w:val="20"/>
          <w:szCs w:val="20"/>
          <w:lang w:val="en-GB"/>
        </w:rPr>
        <w:t>: Existing mobility mechanisms including DAPS may guarantee TN-NTN service continuity.</w:t>
      </w:r>
    </w:p>
    <w:p w14:paraId="4AA5A6C2" w14:textId="77777777"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14:paraId="66C09BD4" w14:textId="77777777" w:rsidR="001F74F7" w:rsidRPr="0079321C" w:rsidRDefault="001F74F7" w:rsidP="001F74F7">
      <w:pPr>
        <w:rPr>
          <w:rFonts w:ascii="Times New Roman" w:hAnsi="Times New Roman"/>
          <w:b/>
          <w:bCs/>
          <w:sz w:val="20"/>
          <w:szCs w:val="20"/>
          <w:lang w:val="en-GB"/>
        </w:rPr>
      </w:pPr>
      <w:r w:rsidRPr="0079321C">
        <w:rPr>
          <w:rFonts w:ascii="Times New Roman" w:hAnsi="Times New Roman" w:hint="eastAsia"/>
          <w:b/>
          <w:bCs/>
          <w:sz w:val="20"/>
          <w:szCs w:val="20"/>
          <w:lang w:val="en-GB"/>
        </w:rPr>
        <w:t>P</w:t>
      </w:r>
      <w:r w:rsidRPr="0079321C">
        <w:rPr>
          <w:rFonts w:ascii="Times New Roman" w:hAnsi="Times New Roman"/>
          <w:b/>
          <w:bCs/>
          <w:sz w:val="20"/>
          <w:szCs w:val="20"/>
          <w:lang w:val="en-GB"/>
        </w:rPr>
        <w:t>roposal 1: RAN2</w:t>
      </w:r>
      <w:r>
        <w:rPr>
          <w:rFonts w:ascii="Times New Roman" w:hAnsi="Times New Roman"/>
          <w:b/>
          <w:bCs/>
          <w:sz w:val="20"/>
          <w:szCs w:val="20"/>
          <w:lang w:val="en-GB"/>
        </w:rPr>
        <w:t xml:space="preserve"> may</w:t>
      </w:r>
      <w:r w:rsidRPr="0079321C">
        <w:rPr>
          <w:rFonts w:ascii="Times New Roman" w:hAnsi="Times New Roman"/>
          <w:b/>
          <w:bCs/>
          <w:sz w:val="20"/>
          <w:szCs w:val="20"/>
          <w:lang w:val="en-GB"/>
        </w:rPr>
        <w:t xml:space="preserve"> consider support of DAPS in NR NTN for TN-NTN service continuity if time allows.</w:t>
      </w:r>
    </w:p>
    <w:p w14:paraId="6FE9CF87" w14:textId="1F153582" w:rsidR="00F44BE3" w:rsidRPr="001F74F7" w:rsidRDefault="001F74F7" w:rsidP="001F74F7">
      <w:pPr>
        <w:rPr>
          <w:rFonts w:ascii="Times New Roman" w:hAnsi="Times New Roman"/>
          <w:b/>
          <w:bCs/>
          <w:sz w:val="20"/>
          <w:szCs w:val="20"/>
          <w:lang w:val="en-GB"/>
        </w:rPr>
      </w:pPr>
      <w:r w:rsidRPr="0000153C">
        <w:rPr>
          <w:rFonts w:ascii="Times New Roman" w:hAnsi="Times New Roman" w:hint="eastAsia"/>
          <w:b/>
          <w:bCs/>
          <w:sz w:val="20"/>
          <w:szCs w:val="20"/>
          <w:lang w:val="en-GB"/>
        </w:rPr>
        <w:t>P</w:t>
      </w:r>
      <w:r w:rsidRPr="0000153C">
        <w:rPr>
          <w:rFonts w:ascii="Times New Roman" w:hAnsi="Times New Roman"/>
          <w:b/>
          <w:bCs/>
          <w:sz w:val="20"/>
          <w:szCs w:val="20"/>
          <w:lang w:val="en-GB"/>
        </w:rPr>
        <w:t>roposal 2: The frequency-based priorities are used to prioritize TN over NTN by setting the frequency bands of TN with higher priority than that of NTN.</w:t>
      </w:r>
    </w:p>
    <w:sectPr w:rsidR="00F44BE3" w:rsidRPr="001F74F7"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46CB7" w14:textId="77777777" w:rsidR="00C12AA9" w:rsidRDefault="00C12AA9">
      <w:r>
        <w:separator/>
      </w:r>
    </w:p>
  </w:endnote>
  <w:endnote w:type="continuationSeparator" w:id="0">
    <w:p w14:paraId="08D18F76" w14:textId="77777777" w:rsidR="00C12AA9" w:rsidRDefault="00C1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F8E83A" w14:textId="77777777" w:rsidR="00C12AA9" w:rsidRDefault="00C12AA9">
      <w:r>
        <w:separator/>
      </w:r>
    </w:p>
  </w:footnote>
  <w:footnote w:type="continuationSeparator" w:id="0">
    <w:p w14:paraId="6EAD955F" w14:textId="77777777" w:rsidR="00C12AA9" w:rsidRDefault="00C12A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49C5FAD"/>
    <w:multiLevelType w:val="hybridMultilevel"/>
    <w:tmpl w:val="192630AA"/>
    <w:lvl w:ilvl="0" w:tplc="612C3CDE">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F24129"/>
    <w:multiLevelType w:val="hybridMultilevel"/>
    <w:tmpl w:val="F99099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9"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0"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2"/>
  </w:num>
  <w:num w:numId="3">
    <w:abstractNumId w:val="35"/>
  </w:num>
  <w:num w:numId="4">
    <w:abstractNumId w:val="4"/>
  </w:num>
  <w:num w:numId="5">
    <w:abstractNumId w:val="36"/>
  </w:num>
  <w:num w:numId="6">
    <w:abstractNumId w:val="16"/>
  </w:num>
  <w:num w:numId="7">
    <w:abstractNumId w:val="11"/>
  </w:num>
  <w:num w:numId="8">
    <w:abstractNumId w:val="29"/>
  </w:num>
  <w:num w:numId="9">
    <w:abstractNumId w:val="6"/>
  </w:num>
  <w:num w:numId="10">
    <w:abstractNumId w:val="24"/>
  </w:num>
  <w:num w:numId="11">
    <w:abstractNumId w:val="26"/>
  </w:num>
  <w:num w:numId="12">
    <w:abstractNumId w:val="22"/>
  </w:num>
  <w:num w:numId="13">
    <w:abstractNumId w:val="27"/>
  </w:num>
  <w:num w:numId="14">
    <w:abstractNumId w:val="14"/>
  </w:num>
  <w:num w:numId="15">
    <w:abstractNumId w:val="3"/>
  </w:num>
  <w:num w:numId="16">
    <w:abstractNumId w:val="23"/>
  </w:num>
  <w:num w:numId="17">
    <w:abstractNumId w:val="31"/>
  </w:num>
  <w:num w:numId="18">
    <w:abstractNumId w:val="25"/>
  </w:num>
  <w:num w:numId="19">
    <w:abstractNumId w:val="31"/>
  </w:num>
  <w:num w:numId="20">
    <w:abstractNumId w:val="30"/>
  </w:num>
  <w:num w:numId="21">
    <w:abstractNumId w:val="31"/>
  </w:num>
  <w:num w:numId="22">
    <w:abstractNumId w:val="9"/>
  </w:num>
  <w:num w:numId="23">
    <w:abstractNumId w:val="31"/>
  </w:num>
  <w:num w:numId="24">
    <w:abstractNumId w:val="8"/>
  </w:num>
  <w:num w:numId="25">
    <w:abstractNumId w:val="7"/>
  </w:num>
  <w:num w:numId="26">
    <w:abstractNumId w:val="19"/>
  </w:num>
  <w:num w:numId="27">
    <w:abstractNumId w:val="32"/>
  </w:num>
  <w:num w:numId="28">
    <w:abstractNumId w:val="5"/>
  </w:num>
  <w:num w:numId="29">
    <w:abstractNumId w:val="28"/>
  </w:num>
  <w:num w:numId="30">
    <w:abstractNumId w:val="15"/>
  </w:num>
  <w:num w:numId="31">
    <w:abstractNumId w:val="37"/>
  </w:num>
  <w:num w:numId="32">
    <w:abstractNumId w:val="20"/>
  </w:num>
  <w:num w:numId="33">
    <w:abstractNumId w:val="1"/>
  </w:num>
  <w:num w:numId="34">
    <w:abstractNumId w:val="12"/>
  </w:num>
  <w:num w:numId="35">
    <w:abstractNumId w:val="0"/>
  </w:num>
  <w:num w:numId="36">
    <w:abstractNumId w:val="33"/>
  </w:num>
  <w:num w:numId="37">
    <w:abstractNumId w:val="13"/>
  </w:num>
  <w:num w:numId="38">
    <w:abstractNumId w:val="10"/>
  </w:num>
  <w:num w:numId="39">
    <w:abstractNumId w:val="34"/>
  </w:num>
  <w:num w:numId="40">
    <w:abstractNumId w:val="17"/>
  </w:num>
  <w:num w:numId="41">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153C"/>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0B6"/>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1F74F7"/>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130"/>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616"/>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283"/>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344"/>
    <w:rsid w:val="005E07B4"/>
    <w:rsid w:val="005E0CF5"/>
    <w:rsid w:val="005E1075"/>
    <w:rsid w:val="005E1D0F"/>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44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21C"/>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DA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51C"/>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3B1"/>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9"/>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BF6"/>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1E37"/>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28C"/>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2</Pages>
  <Words>800</Words>
  <Characters>4565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59</cp:revision>
  <cp:lastPrinted>2012-10-30T00:20:00Z</cp:lastPrinted>
  <dcterms:created xsi:type="dcterms:W3CDTF">2020-08-03T07:44:00Z</dcterms:created>
  <dcterms:modified xsi:type="dcterms:W3CDTF">2021-10-22T01:22:00Z</dcterms:modified>
</cp:coreProperties>
</file>